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1307" w14:textId="77777777" w:rsidR="004D131B" w:rsidRDefault="004D131B" w:rsidP="004D131B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Aprobat:</w:t>
      </w:r>
    </w:p>
    <w:p w14:paraId="35B9EB95" w14:textId="77777777" w:rsidR="004D131B" w:rsidRDefault="004D131B" w:rsidP="004D131B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 Judecătoriei Anenii Noi</w:t>
      </w:r>
    </w:p>
    <w:p w14:paraId="388F7D3C" w14:textId="77777777" w:rsidR="004D131B" w:rsidRDefault="004D131B" w:rsidP="004D131B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__________________Ghenadie MÎRA</w:t>
      </w:r>
    </w:p>
    <w:p w14:paraId="73C432EC" w14:textId="77777777" w:rsidR="004D131B" w:rsidRDefault="004D131B" w:rsidP="004D13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8E2768E" w14:textId="77777777" w:rsidR="004D131B" w:rsidRPr="000D05CA" w:rsidRDefault="004D131B" w:rsidP="004D13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POLITICA</w:t>
      </w:r>
    </w:p>
    <w:p w14:paraId="32EAF1F0" w14:textId="77777777" w:rsidR="000D05CA" w:rsidRDefault="00E157FB" w:rsidP="004D13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05CA">
        <w:rPr>
          <w:rFonts w:ascii="Times New Roman" w:hAnsi="Times New Roman" w:cs="Times New Roman"/>
          <w:b/>
          <w:sz w:val="28"/>
          <w:szCs w:val="28"/>
          <w:lang w:val="ro-RO"/>
        </w:rPr>
        <w:t>de comunicare internă și exte</w:t>
      </w:r>
      <w:r w:rsidR="000D05CA" w:rsidRPr="000D05CA">
        <w:rPr>
          <w:rFonts w:ascii="Times New Roman" w:hAnsi="Times New Roman" w:cs="Times New Roman"/>
          <w:b/>
          <w:sz w:val="28"/>
          <w:szCs w:val="28"/>
          <w:lang w:val="ro-RO"/>
        </w:rPr>
        <w:t>rnă di</w:t>
      </w:r>
      <w:r w:rsidR="004D131B">
        <w:rPr>
          <w:rFonts w:ascii="Times New Roman" w:hAnsi="Times New Roman" w:cs="Times New Roman"/>
          <w:b/>
          <w:sz w:val="28"/>
          <w:szCs w:val="28"/>
          <w:lang w:val="ro-RO"/>
        </w:rPr>
        <w:t>n cadrul Judecătoriei Anenii</w:t>
      </w:r>
      <w:r w:rsidR="00626A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Noi</w:t>
      </w:r>
    </w:p>
    <w:p w14:paraId="7A50618B" w14:textId="77777777" w:rsidR="004D131B" w:rsidRPr="00626AAF" w:rsidRDefault="004D131B" w:rsidP="004D13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6AAF">
        <w:rPr>
          <w:rFonts w:ascii="Times New Roman" w:hAnsi="Times New Roman" w:cs="Times New Roman"/>
          <w:b/>
          <w:sz w:val="28"/>
          <w:szCs w:val="28"/>
          <w:lang w:val="ro-RO"/>
        </w:rPr>
        <w:t>I. Scopul</w:t>
      </w:r>
    </w:p>
    <w:p w14:paraId="78BB1E22" w14:textId="77777777" w:rsidR="00E157FB" w:rsidRPr="001C0800" w:rsidRDefault="00E157FB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800">
        <w:rPr>
          <w:rFonts w:ascii="Times New Roman" w:hAnsi="Times New Roman" w:cs="Times New Roman"/>
          <w:sz w:val="28"/>
          <w:szCs w:val="28"/>
          <w:lang w:val="ro-RO"/>
        </w:rPr>
        <w:t>Conturează responsabilitățile întregului</w:t>
      </w:r>
      <w:r w:rsidR="003D7AEC" w:rsidRPr="001C0800">
        <w:rPr>
          <w:rFonts w:ascii="Times New Roman" w:hAnsi="Times New Roman" w:cs="Times New Roman"/>
          <w:sz w:val="28"/>
          <w:szCs w:val="28"/>
          <w:lang w:val="ro-RO"/>
        </w:rPr>
        <w:t xml:space="preserve"> personal în menținerea unor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7AEC" w:rsidRPr="001C0800">
        <w:rPr>
          <w:rFonts w:ascii="Times New Roman" w:hAnsi="Times New Roman" w:cs="Times New Roman"/>
          <w:sz w:val="28"/>
          <w:szCs w:val="28"/>
          <w:lang w:val="ro-RO"/>
        </w:rPr>
        <w:t>bune practici  de  comunicare,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7AEC" w:rsidRPr="001C0800">
        <w:rPr>
          <w:rFonts w:ascii="Times New Roman" w:hAnsi="Times New Roman" w:cs="Times New Roman"/>
          <w:sz w:val="28"/>
          <w:szCs w:val="28"/>
          <w:lang w:val="ro-RO"/>
        </w:rPr>
        <w:t>metodelor principale și canalelor de comu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 xml:space="preserve">nicare disponibile personalului, </w:t>
      </w:r>
      <w:r w:rsidR="003D7AEC" w:rsidRPr="001C0800">
        <w:rPr>
          <w:rFonts w:ascii="Times New Roman" w:hAnsi="Times New Roman" w:cs="Times New Roman"/>
          <w:sz w:val="28"/>
          <w:szCs w:val="28"/>
          <w:lang w:val="ro-RO"/>
        </w:rPr>
        <w:t>precum si modului in care/cand acestea pot fi utilizate pentru a fi eficiente.</w:t>
      </w:r>
    </w:p>
    <w:p w14:paraId="3D7FFC4E" w14:textId="77777777" w:rsidR="003D7AEC" w:rsidRPr="000D05CA" w:rsidRDefault="000D05CA" w:rsidP="000D05C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05CA">
        <w:rPr>
          <w:rFonts w:ascii="Times New Roman" w:hAnsi="Times New Roman" w:cs="Times New Roman"/>
          <w:b/>
          <w:sz w:val="28"/>
          <w:szCs w:val="28"/>
          <w:lang w:val="ro-RO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Domeniul de aplicare</w:t>
      </w:r>
      <w:r w:rsidR="004D13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regulamentului</w:t>
      </w:r>
    </w:p>
    <w:p w14:paraId="71FF2336" w14:textId="1D6220CC" w:rsidR="003D7AEC" w:rsidRPr="001C0800" w:rsidRDefault="003D7AEC" w:rsidP="00AB26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0800">
        <w:rPr>
          <w:rFonts w:ascii="Times New Roman" w:hAnsi="Times New Roman" w:cs="Times New Roman"/>
          <w:sz w:val="28"/>
          <w:szCs w:val="28"/>
          <w:lang w:val="ro-RO"/>
        </w:rPr>
        <w:t>Prezentul Regulament se apl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 xml:space="preserve">ică in cadrul Judecatoriei Anenii Noi </w:t>
      </w:r>
      <w:r w:rsidRPr="001C0800">
        <w:rPr>
          <w:rFonts w:ascii="Times New Roman" w:hAnsi="Times New Roman" w:cs="Times New Roman"/>
          <w:sz w:val="28"/>
          <w:szCs w:val="28"/>
          <w:lang w:val="ro-RO"/>
        </w:rPr>
        <w:t>(se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>diul Central, s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 xml:space="preserve">ediul Bender) pentru toate 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>direcțiil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 xml:space="preserve"> ș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>i secț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Pr="001C080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3F6B784" w14:textId="77777777" w:rsidR="003D7AEC" w:rsidRPr="000D05CA" w:rsidRDefault="000D05CA" w:rsidP="000D05C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D05CA">
        <w:rPr>
          <w:rFonts w:ascii="Times New Roman" w:hAnsi="Times New Roman" w:cs="Times New Roman"/>
          <w:b/>
          <w:sz w:val="28"/>
          <w:szCs w:val="28"/>
          <w:lang w:val="ro-RO"/>
        </w:rPr>
        <w:t>III.</w:t>
      </w:r>
      <w:r w:rsidR="003D7AEC" w:rsidRPr="000D05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D05CA">
        <w:rPr>
          <w:rFonts w:ascii="Times New Roman" w:hAnsi="Times New Roman" w:cs="Times New Roman"/>
          <w:b/>
          <w:sz w:val="28"/>
          <w:szCs w:val="28"/>
          <w:lang w:val="ro-RO"/>
        </w:rPr>
        <w:t>Documente de referință</w:t>
      </w:r>
    </w:p>
    <w:p w14:paraId="1B6AC8F3" w14:textId="77777777" w:rsidR="00AB26A1" w:rsidRDefault="001C0800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6A1">
        <w:rPr>
          <w:rFonts w:ascii="Times New Roman" w:hAnsi="Times New Roman" w:cs="Times New Roman"/>
          <w:sz w:val="28"/>
          <w:szCs w:val="28"/>
          <w:lang w:val="ro-RO"/>
        </w:rPr>
        <w:t>Legea nr.514 din 06.07.1995 privind organizarea judecătorească;</w:t>
      </w:r>
    </w:p>
    <w:p w14:paraId="7A7155C2" w14:textId="09C310DE" w:rsidR="001C0800" w:rsidRPr="00AB26A1" w:rsidRDefault="001C0800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6A1">
        <w:rPr>
          <w:rFonts w:ascii="Times New Roman" w:hAnsi="Times New Roman" w:cs="Times New Roman"/>
          <w:sz w:val="28"/>
          <w:szCs w:val="28"/>
          <w:lang w:val="ro-RO"/>
        </w:rPr>
        <w:t>Legea nr.544 din 20.07.1995 cu privire la statutul judecătorului;</w:t>
      </w:r>
    </w:p>
    <w:p w14:paraId="68F3E6A4" w14:textId="1FE8E86B" w:rsidR="001C0800" w:rsidRPr="00626AAF" w:rsidRDefault="001C0800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AAF">
        <w:rPr>
          <w:rFonts w:ascii="Times New Roman" w:hAnsi="Times New Roman" w:cs="Times New Roman"/>
          <w:sz w:val="28"/>
          <w:szCs w:val="28"/>
          <w:lang w:val="ro-RO"/>
        </w:rPr>
        <w:t>Legea nr. 158 din 04.07.2008 cu privire la funcția publică și statutul funcționarului public;</w:t>
      </w:r>
    </w:p>
    <w:p w14:paraId="6FE40275" w14:textId="241A2A58" w:rsidR="001C0800" w:rsidRPr="00626AAF" w:rsidRDefault="001C0800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AAF">
        <w:rPr>
          <w:rFonts w:ascii="Times New Roman" w:hAnsi="Times New Roman" w:cs="Times New Roman"/>
          <w:sz w:val="28"/>
          <w:szCs w:val="28"/>
          <w:lang w:val="ro-RO"/>
        </w:rPr>
        <w:t>Codul de etică și de conduită profesională a judecătorului, aprobat prin Hotărârea nr.8 a Adunării generale a Judecătorilor din 11 septembrie 2015;</w:t>
      </w:r>
    </w:p>
    <w:p w14:paraId="193F3D64" w14:textId="4F0375BE" w:rsidR="001C0800" w:rsidRPr="00626AAF" w:rsidRDefault="001C0800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AAF">
        <w:rPr>
          <w:rFonts w:ascii="Times New Roman" w:hAnsi="Times New Roman" w:cs="Times New Roman"/>
          <w:sz w:val="28"/>
          <w:szCs w:val="28"/>
          <w:lang w:val="ro-RO"/>
        </w:rPr>
        <w:t xml:space="preserve">Legea nr. </w:t>
      </w:r>
      <w:r w:rsidR="00BD04A8" w:rsidRPr="00626AAF">
        <w:rPr>
          <w:rFonts w:ascii="Times New Roman" w:hAnsi="Times New Roman" w:cs="Times New Roman"/>
          <w:sz w:val="28"/>
          <w:szCs w:val="28"/>
          <w:lang w:val="ro-RO"/>
        </w:rPr>
        <w:t>133 din 08.07.2011 cu privire</w:t>
      </w:r>
      <w:r w:rsidR="0075508D" w:rsidRPr="00626AAF">
        <w:rPr>
          <w:rFonts w:ascii="Times New Roman" w:hAnsi="Times New Roman" w:cs="Times New Roman"/>
          <w:sz w:val="28"/>
          <w:szCs w:val="28"/>
          <w:lang w:val="ro-RO"/>
        </w:rPr>
        <w:t xml:space="preserve"> la protecția datelor cu caracter personal;</w:t>
      </w:r>
    </w:p>
    <w:p w14:paraId="2A22D49C" w14:textId="2592C28D" w:rsidR="0075508D" w:rsidRPr="00626AAF" w:rsidRDefault="0075508D" w:rsidP="00AB26A1">
      <w:pPr>
        <w:pStyle w:val="Frspaier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6AAF">
        <w:rPr>
          <w:rFonts w:ascii="Times New Roman" w:hAnsi="Times New Roman" w:cs="Times New Roman"/>
          <w:sz w:val="28"/>
          <w:szCs w:val="28"/>
          <w:lang w:val="ro-RO"/>
        </w:rPr>
        <w:t>Legea nr.239 din 13.11.2008 privind transparența în procesul decizional;</w:t>
      </w:r>
    </w:p>
    <w:p w14:paraId="15432FC1" w14:textId="751E4836" w:rsidR="0075508D" w:rsidRDefault="0075508D" w:rsidP="00AB26A1">
      <w:pPr>
        <w:pStyle w:val="Frspaiere"/>
        <w:numPr>
          <w:ilvl w:val="0"/>
          <w:numId w:val="20"/>
        </w:numPr>
        <w:jc w:val="both"/>
        <w:rPr>
          <w:lang w:val="ro-RO"/>
        </w:rPr>
      </w:pPr>
      <w:r w:rsidRPr="00626AAF">
        <w:rPr>
          <w:rFonts w:ascii="Times New Roman" w:hAnsi="Times New Roman" w:cs="Times New Roman"/>
          <w:sz w:val="28"/>
          <w:szCs w:val="28"/>
          <w:lang w:val="ro-RO"/>
        </w:rPr>
        <w:t>Legea nr.982 din 11.05.2000 privind accesul la informație.</w:t>
      </w:r>
    </w:p>
    <w:p w14:paraId="4D8BB2BD" w14:textId="77777777" w:rsidR="00626AAF" w:rsidRDefault="00626AAF" w:rsidP="00626AA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54DC46" w14:textId="77777777" w:rsidR="0075508D" w:rsidRPr="000D05CA" w:rsidRDefault="00626AAF" w:rsidP="00626AA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IV. Definiții, termeni</w:t>
      </w:r>
    </w:p>
    <w:p w14:paraId="69931436" w14:textId="6686A535" w:rsidR="0075508D" w:rsidRDefault="0075508D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prezenta procedură sunt utilizate 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>urm</w:t>
      </w:r>
      <w:r w:rsidR="003D3BE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D05CA">
        <w:rPr>
          <w:rFonts w:ascii="Times New Roman" w:hAnsi="Times New Roman" w:cs="Times New Roman"/>
          <w:sz w:val="28"/>
          <w:szCs w:val="28"/>
          <w:lang w:val="ro-RO"/>
        </w:rPr>
        <w:t>toarele abrevieri si definiț</w:t>
      </w:r>
      <w:r w:rsidR="00BE6AB3">
        <w:rPr>
          <w:rFonts w:ascii="Times New Roman" w:hAnsi="Times New Roman" w:cs="Times New Roman"/>
          <w:sz w:val="28"/>
          <w:szCs w:val="28"/>
          <w:lang w:val="ro-RO"/>
        </w:rPr>
        <w:t>ii:</w:t>
      </w:r>
    </w:p>
    <w:p w14:paraId="4A7B50F5" w14:textId="22661BED" w:rsidR="00BE6AB3" w:rsidRDefault="00BE6AB3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t>Comunicare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proces de transmitere a informațiilor de către un emiță</w:t>
      </w:r>
      <w:r>
        <w:rPr>
          <w:rFonts w:ascii="Times New Roman" w:hAnsi="Times New Roman" w:cs="Times New Roman"/>
          <w:sz w:val="28"/>
          <w:szCs w:val="28"/>
          <w:lang w:val="ro-RO"/>
        </w:rPr>
        <w:t>tor prin intermediul unui canal,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scopul de a produce asupra receptorului anumite efecte.</w:t>
      </w:r>
    </w:p>
    <w:p w14:paraId="77DDA2B7" w14:textId="704CD6CD" w:rsidR="00BE6AB3" w:rsidRDefault="00BE6AB3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t>Pro</w:t>
      </w:r>
      <w:r w:rsid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t>ces de comunicare internă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– ansamblu de activități specifice domeniului comunicării realizate între administrația instanței si salariații din cadrul tuturor direcțiilor si secț</w:t>
      </w:r>
      <w:r>
        <w:rPr>
          <w:rFonts w:ascii="Times New Roman" w:hAnsi="Times New Roman" w:cs="Times New Roman"/>
          <w:sz w:val="28"/>
          <w:szCs w:val="28"/>
          <w:lang w:val="ro-RO"/>
        </w:rPr>
        <w:t>iilor,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intre salariati,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cât și î</w:t>
      </w:r>
      <w:r>
        <w:rPr>
          <w:rFonts w:ascii="Times New Roman" w:hAnsi="Times New Roman" w:cs="Times New Roman"/>
          <w:sz w:val="28"/>
          <w:szCs w:val="28"/>
          <w:lang w:val="ro-RO"/>
        </w:rPr>
        <w:t>ntre personalul administrativ/auxiliar.</w:t>
      </w:r>
    </w:p>
    <w:p w14:paraId="0CB82CE9" w14:textId="703DFE29" w:rsidR="00BE6AB3" w:rsidRDefault="00BE6AB3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Proces de </w:t>
      </w:r>
      <w:r w:rsidR="005F1501" w:rsidRP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t>comunicare externă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include totalitatea mesajelor 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pe care instanța le transmite in afară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precum si cele recepț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ionate d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in exterior. Comunicarea externă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de asemenea,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determin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menține si promovează imaginea instituției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09FA5D0" w14:textId="376C387F" w:rsidR="00BF6873" w:rsidRDefault="00BF6873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150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Mijloc de comunicare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suport tehnic ce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sprijină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procesul de comunicar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e. Mijloacele de comunicare pot </w:t>
      </w:r>
      <w:r>
        <w:rPr>
          <w:rFonts w:ascii="Times New Roman" w:hAnsi="Times New Roman" w:cs="Times New Roman"/>
          <w:sz w:val="28"/>
          <w:szCs w:val="28"/>
          <w:lang w:val="ro-RO"/>
        </w:rPr>
        <w:t>fi: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scrise pe suport de hâ</w:t>
      </w:r>
      <w:r>
        <w:rPr>
          <w:rFonts w:ascii="Times New Roman" w:hAnsi="Times New Roman" w:cs="Times New Roman"/>
          <w:sz w:val="28"/>
          <w:szCs w:val="28"/>
          <w:lang w:val="ro-RO"/>
        </w:rPr>
        <w:t>rtie si pe suport magnetic;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verbal-t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ransmise prin comunicare directă, ș</w:t>
      </w:r>
      <w:r>
        <w:rPr>
          <w:rFonts w:ascii="Times New Roman" w:hAnsi="Times New Roman" w:cs="Times New Roman"/>
          <w:sz w:val="28"/>
          <w:szCs w:val="28"/>
          <w:lang w:val="ro-RO"/>
        </w:rPr>
        <w:t>edinte, respectiv prin telefon, fax, mijloace audio-video.</w:t>
      </w:r>
    </w:p>
    <w:p w14:paraId="57A8D4C2" w14:textId="77777777" w:rsidR="00BF6873" w:rsidRPr="005F1501" w:rsidRDefault="00BF6873" w:rsidP="000D05C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AC42A1"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="005F1501">
        <w:rPr>
          <w:rFonts w:ascii="Times New Roman" w:hAnsi="Times New Roman" w:cs="Times New Roman"/>
          <w:b/>
          <w:sz w:val="28"/>
          <w:szCs w:val="28"/>
          <w:lang w:val="ro-RO"/>
        </w:rPr>
        <w:t>. Obiective</w:t>
      </w:r>
    </w:p>
    <w:p w14:paraId="02F6F929" w14:textId="1086C7F9" w:rsidR="00BF6873" w:rsidRDefault="005F1501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Stabilirea 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menț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inerea unui cadru eficient ș</w:t>
      </w:r>
      <w:r w:rsidR="00BF6873">
        <w:rPr>
          <w:rFonts w:ascii="Times New Roman" w:hAnsi="Times New Roman" w:cs="Times New Roman"/>
          <w:sz w:val="28"/>
          <w:szCs w:val="28"/>
          <w:lang w:val="ro-RO"/>
        </w:rPr>
        <w:t xml:space="preserve">i transparent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comunicare internă 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i externă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7C155D6" w14:textId="28EDE239" w:rsidR="0028287C" w:rsidRDefault="005F1501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Informarea obiectivă, coerentă și amplă a angajaț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ilor, publicului extern,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inclusiv asigurarea transparenței î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n activitatea ș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>promovarea imaginii justiț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iei.</w:t>
      </w:r>
    </w:p>
    <w:p w14:paraId="2F06D893" w14:textId="3AC5232B" w:rsidR="0028287C" w:rsidRDefault="005F1501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Dezvoltarea comunicării deschise pe subiectele ce ț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 xml:space="preserve">in de obiectivele 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 xml:space="preserve">i problemele existente. </w:t>
      </w:r>
    </w:p>
    <w:p w14:paraId="34AF441D" w14:textId="0C931C03" w:rsidR="0028287C" w:rsidRDefault="00D773AF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3D3BE2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elegerea univocă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a activității și rolul instan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ei de către angajaț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i,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 xml:space="preserve"> susținerea direcțiilor strategice ale instituți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ei, utilizar</w:t>
      </w:r>
      <w:r w:rsidR="005F1501">
        <w:rPr>
          <w:rFonts w:ascii="Times New Roman" w:hAnsi="Times New Roman" w:cs="Times New Roman"/>
          <w:sz w:val="28"/>
          <w:szCs w:val="28"/>
          <w:lang w:val="ro-RO"/>
        </w:rPr>
        <w:t>ea informaț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200C3">
        <w:rPr>
          <w:rFonts w:ascii="Times New Roman" w:hAnsi="Times New Roman" w:cs="Times New Roman"/>
          <w:sz w:val="28"/>
          <w:szCs w:val="28"/>
          <w:lang w:val="ro-RO"/>
        </w:rPr>
        <w:t>ilor exacte pentru eficientiza î</w:t>
      </w:r>
      <w:r w:rsidR="0028287C">
        <w:rPr>
          <w:rFonts w:ascii="Times New Roman" w:hAnsi="Times New Roman" w:cs="Times New Roman"/>
          <w:sz w:val="28"/>
          <w:szCs w:val="28"/>
          <w:lang w:val="ro-RO"/>
        </w:rPr>
        <w:t>ndepli</w:t>
      </w:r>
      <w:r w:rsidR="003200C3">
        <w:rPr>
          <w:rFonts w:ascii="Times New Roman" w:hAnsi="Times New Roman" w:cs="Times New Roman"/>
          <w:sz w:val="28"/>
          <w:szCs w:val="28"/>
          <w:lang w:val="ro-RO"/>
        </w:rPr>
        <w:t>nirea atribuț</w:t>
      </w:r>
      <w:r w:rsidR="00FC3FE6">
        <w:rPr>
          <w:rFonts w:ascii="Times New Roman" w:hAnsi="Times New Roman" w:cs="Times New Roman"/>
          <w:sz w:val="28"/>
          <w:szCs w:val="28"/>
          <w:lang w:val="ro-RO"/>
        </w:rPr>
        <w:t>iilor profesionale.</w:t>
      </w:r>
    </w:p>
    <w:p w14:paraId="42D4D5AA" w14:textId="4227916F" w:rsidR="00FC3FE6" w:rsidRDefault="003200C3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Cre</w:t>
      </w:r>
      <w:r w:rsidR="003D3BE2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terea nivelului de î</w:t>
      </w:r>
      <w:r w:rsidR="00FC3FE6">
        <w:rPr>
          <w:rFonts w:ascii="Times New Roman" w:hAnsi="Times New Roman" w:cs="Times New Roman"/>
          <w:sz w:val="28"/>
          <w:szCs w:val="28"/>
          <w:lang w:val="ro-RO"/>
        </w:rPr>
        <w:t>ncredere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a justițiabililor în actul de justiț</w:t>
      </w:r>
      <w:r w:rsidR="00FC3FE6">
        <w:rPr>
          <w:rFonts w:ascii="Times New Roman" w:hAnsi="Times New Roman" w:cs="Times New Roman"/>
          <w:sz w:val="28"/>
          <w:szCs w:val="28"/>
          <w:lang w:val="ro-RO"/>
        </w:rPr>
        <w:t>ie.</w:t>
      </w:r>
    </w:p>
    <w:p w14:paraId="7A15BF62" w14:textId="58D6604D" w:rsidR="00FC3FE6" w:rsidRDefault="00FC3FE6" w:rsidP="00AB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Furnizarea met</w:t>
      </w:r>
      <w:r w:rsidR="003200C3">
        <w:rPr>
          <w:rFonts w:ascii="Times New Roman" w:hAnsi="Times New Roman" w:cs="Times New Roman"/>
          <w:sz w:val="28"/>
          <w:szCs w:val="28"/>
          <w:lang w:val="ro-RO"/>
        </w:rPr>
        <w:t>odelor eficiente de comunicare în cazul unor situaț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 w:rsidR="00925BFE">
        <w:rPr>
          <w:rFonts w:ascii="Times New Roman" w:hAnsi="Times New Roman" w:cs="Times New Roman"/>
          <w:sz w:val="28"/>
          <w:szCs w:val="28"/>
          <w:lang w:val="ro-RO"/>
        </w:rPr>
        <w:t>exc</w:t>
      </w:r>
      <w:r w:rsidR="003200C3">
        <w:rPr>
          <w:rFonts w:ascii="Times New Roman" w:hAnsi="Times New Roman" w:cs="Times New Roman"/>
          <w:sz w:val="28"/>
          <w:szCs w:val="28"/>
          <w:lang w:val="ro-RO"/>
        </w:rPr>
        <w:t>epț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>ionale/incidente grave.</w:t>
      </w:r>
    </w:p>
    <w:p w14:paraId="2F5C10A2" w14:textId="77777777" w:rsidR="0001590C" w:rsidRPr="003200C3" w:rsidRDefault="00626AAF" w:rsidP="003200C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</w:t>
      </w:r>
      <w:r w:rsidR="003200C3" w:rsidRPr="003200C3">
        <w:rPr>
          <w:rFonts w:ascii="Times New Roman" w:hAnsi="Times New Roman" w:cs="Times New Roman"/>
          <w:b/>
          <w:sz w:val="28"/>
          <w:szCs w:val="28"/>
          <w:lang w:val="ro-RO"/>
        </w:rPr>
        <w:t>I. Resposabilități</w:t>
      </w:r>
    </w:p>
    <w:p w14:paraId="79F6DE68" w14:textId="2AC51F24" w:rsidR="003200C3" w:rsidRPr="00D773AF" w:rsidRDefault="003200C3" w:rsidP="00AB26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D773AF">
        <w:rPr>
          <w:rFonts w:ascii="Times New Roman" w:hAnsi="Times New Roman" w:cs="Times New Roman"/>
          <w:b/>
          <w:sz w:val="28"/>
          <w:szCs w:val="28"/>
          <w:lang w:val="ro-RO"/>
        </w:rPr>
        <w:t>Președintele Judec</w:t>
      </w:r>
      <w:r w:rsidR="003D3BE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D773AF">
        <w:rPr>
          <w:rFonts w:ascii="Times New Roman" w:hAnsi="Times New Roman" w:cs="Times New Roman"/>
          <w:b/>
          <w:sz w:val="28"/>
          <w:szCs w:val="28"/>
          <w:lang w:val="ro-RO"/>
        </w:rPr>
        <w:t>toriei Anenii Noi</w:t>
      </w:r>
    </w:p>
    <w:p w14:paraId="0EBF2788" w14:textId="16008506" w:rsidR="003200C3" w:rsidRPr="00E96A50" w:rsidRDefault="003200C3" w:rsidP="00E96A50">
      <w:pPr>
        <w:pStyle w:val="Listparagraf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aprobă resursele necesare realizării unui sistem informaț</w:t>
      </w:r>
      <w:r w:rsidR="0001590C" w:rsidRPr="00E96A50">
        <w:rPr>
          <w:rFonts w:ascii="Times New Roman" w:hAnsi="Times New Roman" w:cs="Times New Roman"/>
          <w:sz w:val="28"/>
          <w:szCs w:val="28"/>
          <w:lang w:val="ro-RO"/>
        </w:rPr>
        <w:t>io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>nal adecvat pentru prelucrarea și transmiterea informaț</w:t>
      </w:r>
      <w:r w:rsidR="0001590C" w:rsidRPr="00E96A50">
        <w:rPr>
          <w:rFonts w:ascii="Times New Roman" w:hAnsi="Times New Roman" w:cs="Times New Roman"/>
          <w:sz w:val="28"/>
          <w:szCs w:val="28"/>
          <w:lang w:val="ro-RO"/>
        </w:rPr>
        <w:t>iilor interne si de interes public;</w:t>
      </w:r>
    </w:p>
    <w:p w14:paraId="565C47AC" w14:textId="58BF8726" w:rsidR="003200C3" w:rsidRPr="00E96A50" w:rsidRDefault="0001590C" w:rsidP="00E96A50">
      <w:pPr>
        <w:pStyle w:val="Listparagraf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analizeaz</w:t>
      </w:r>
      <w:r w:rsidR="003200C3" w:rsidRPr="00E96A5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 eficien</w:t>
      </w:r>
      <w:r w:rsidR="003200C3" w:rsidRPr="00E96A50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3200C3" w:rsidRPr="00E96A50">
        <w:rPr>
          <w:rFonts w:ascii="Times New Roman" w:hAnsi="Times New Roman" w:cs="Times New Roman"/>
          <w:sz w:val="28"/>
          <w:szCs w:val="28"/>
          <w:lang w:val="ro-RO"/>
        </w:rPr>
        <w:t>sistemului de comunicare si urmăreș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3200C3"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 implimentarea măsurilor necesare a accesului la informațiile de interes piblic.</w:t>
      </w:r>
    </w:p>
    <w:p w14:paraId="2D368553" w14:textId="77777777" w:rsidR="003200C3" w:rsidRDefault="003200C3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73AF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363903">
        <w:rPr>
          <w:rFonts w:ascii="Times New Roman" w:hAnsi="Times New Roman" w:cs="Times New Roman"/>
          <w:b/>
          <w:sz w:val="28"/>
          <w:szCs w:val="28"/>
          <w:lang w:val="ro-RO"/>
        </w:rPr>
        <w:t>ef al</w:t>
      </w:r>
      <w:r w:rsidRPr="00D773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secretariatului</w:t>
      </w:r>
    </w:p>
    <w:p w14:paraId="1FA593F3" w14:textId="5A417714" w:rsidR="003200C3" w:rsidRPr="00E96A50" w:rsidRDefault="003200C3" w:rsidP="00E96A50">
      <w:pPr>
        <w:pStyle w:val="Listparagraf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răspunde de gestionarea corectă a documentelor și difuzarea lor în cadrul instanței;</w:t>
      </w:r>
    </w:p>
    <w:p w14:paraId="2E29A01A" w14:textId="650F0C21" w:rsidR="003200C3" w:rsidRPr="00E96A50" w:rsidRDefault="003200C3" w:rsidP="00E96A50">
      <w:pPr>
        <w:pStyle w:val="Listparagraf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asigură comunicarea eficientă cu alte instanțe, cu organismele naționale și internaționale.</w:t>
      </w:r>
    </w:p>
    <w:p w14:paraId="0DEFE296" w14:textId="77777777" w:rsidR="000B71E0" w:rsidRDefault="003200C3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73AF">
        <w:rPr>
          <w:rFonts w:ascii="Times New Roman" w:hAnsi="Times New Roman" w:cs="Times New Roman"/>
          <w:b/>
          <w:sz w:val="28"/>
          <w:szCs w:val="28"/>
          <w:lang w:val="ro-RO"/>
        </w:rPr>
        <w:t>Serviciul Relații cu Publicul</w:t>
      </w:r>
      <w:r w:rsidR="000B71E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46D43F80" w14:textId="79EA9DC2" w:rsidR="000B71E0" w:rsidRPr="00E96A50" w:rsidRDefault="000B71E0" w:rsidP="00E96A50">
      <w:pPr>
        <w:pStyle w:val="Listparagraf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participă la elaborarea newsletter-lui instanței și postarea acestuia pe</w:t>
      </w:r>
      <w:r w:rsidR="00D773AF"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 site-ul oficial al instituției  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>www.jan.justice.md;</w:t>
      </w:r>
    </w:p>
    <w:p w14:paraId="5794F561" w14:textId="4067638A" w:rsidR="000B71E0" w:rsidRPr="00E96A50" w:rsidRDefault="000B71E0" w:rsidP="00E96A50">
      <w:pPr>
        <w:pStyle w:val="Listparagraf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coordonează și răspunde de difuzarea evenimentelor relevante la rubrica evenimente de pe site-ul </w:t>
      </w:r>
      <w:hyperlink r:id="rId5" w:history="1">
        <w:r w:rsidRPr="00E96A5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www.jan.justice.md</w:t>
        </w:r>
      </w:hyperlink>
      <w:r w:rsidRPr="00E96A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089668F4" w14:textId="3F82BB00" w:rsidR="000B71E0" w:rsidRPr="00E96A50" w:rsidRDefault="000B71E0" w:rsidP="00E96A50">
      <w:pPr>
        <w:pStyle w:val="Listparagraf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colabor</w:t>
      </w:r>
      <w:r w:rsidR="00363903" w:rsidRPr="00E96A50">
        <w:rPr>
          <w:rFonts w:ascii="Times New Roman" w:hAnsi="Times New Roman" w:cs="Times New Roman"/>
          <w:sz w:val="28"/>
          <w:szCs w:val="28"/>
          <w:lang w:val="ro-RO"/>
        </w:rPr>
        <w:t>ează cu direcțiile și secțiile î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>n vederea soluționării cererilor primite;</w:t>
      </w:r>
    </w:p>
    <w:p w14:paraId="0D44FC89" w14:textId="415BA438" w:rsidR="000B71E0" w:rsidRPr="00E96A50" w:rsidRDefault="000B71E0" w:rsidP="00E96A50">
      <w:pPr>
        <w:pStyle w:val="Listparagraf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asigură relațiile cu mass-media: transmiterea comunicatelor de presă, organizarea conferințelor de presă;</w:t>
      </w:r>
    </w:p>
    <w:p w14:paraId="2A98C779" w14:textId="60A6162B" w:rsidR="000B71E0" w:rsidRPr="00E96A50" w:rsidRDefault="000B71E0" w:rsidP="00E96A50">
      <w:pPr>
        <w:pStyle w:val="Listparagraf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răspunde direct de diseminarea informațiilor la avizierul electronic de pe site-ul </w:t>
      </w:r>
      <w:hyperlink r:id="rId6" w:history="1">
        <w:r w:rsidRPr="00E96A5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www.jan.justice.md</w:t>
        </w:r>
      </w:hyperlink>
      <w:r w:rsidRPr="00E96A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2292D2C" w14:textId="77777777" w:rsidR="000B71E0" w:rsidRDefault="00626AAF" w:rsidP="000B71E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VI</w:t>
      </w:r>
      <w:r w:rsidR="000B71E0" w:rsidRPr="000B71E0">
        <w:rPr>
          <w:rFonts w:ascii="Times New Roman" w:hAnsi="Times New Roman" w:cs="Times New Roman"/>
          <w:b/>
          <w:sz w:val="28"/>
          <w:szCs w:val="28"/>
          <w:lang w:val="ro-RO"/>
        </w:rPr>
        <w:t>I.</w:t>
      </w:r>
      <w:r w:rsidR="00D773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C42A1">
        <w:rPr>
          <w:rFonts w:ascii="Times New Roman" w:hAnsi="Times New Roman" w:cs="Times New Roman"/>
          <w:b/>
          <w:sz w:val="28"/>
          <w:szCs w:val="28"/>
          <w:lang w:val="ro-RO"/>
        </w:rPr>
        <w:t>Comu</w:t>
      </w:r>
      <w:r w:rsidR="000B71E0" w:rsidRPr="000B71E0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AC42A1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0B71E0" w:rsidRPr="000B71E0">
        <w:rPr>
          <w:rFonts w:ascii="Times New Roman" w:hAnsi="Times New Roman" w:cs="Times New Roman"/>
          <w:b/>
          <w:sz w:val="28"/>
          <w:szCs w:val="28"/>
          <w:lang w:val="ro-RO"/>
        </w:rPr>
        <w:t>carea internă</w:t>
      </w:r>
    </w:p>
    <w:p w14:paraId="40B6BE03" w14:textId="77777777" w:rsidR="000B71E0" w:rsidRDefault="000B71E0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71E0">
        <w:rPr>
          <w:rFonts w:ascii="Times New Roman" w:hAnsi="Times New Roman" w:cs="Times New Roman"/>
          <w:sz w:val="28"/>
          <w:szCs w:val="28"/>
          <w:lang w:val="ro-RO"/>
        </w:rPr>
        <w:t>Componenta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comunicare internă include următoarele canale:</w:t>
      </w:r>
    </w:p>
    <w:p w14:paraId="3DA44870" w14:textId="7FA861C8" w:rsidR="000B71E0" w:rsidRPr="00E96A50" w:rsidRDefault="000B71E0" w:rsidP="00E96A50">
      <w:pPr>
        <w:pStyle w:val="Listparagraf"/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lastRenderedPageBreak/>
        <w:t>față în față : focus grupuri, ședințe, mese rotunde, evenimente etc.,</w:t>
      </w:r>
    </w:p>
    <w:p w14:paraId="627BD83D" w14:textId="16157A03" w:rsidR="000B71E0" w:rsidRPr="00E96A50" w:rsidRDefault="000B71E0" w:rsidP="00E96A50">
      <w:pPr>
        <w:pStyle w:val="Listparagraf"/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electronice: internet, fax, telefon, video-conferință;</w:t>
      </w:r>
    </w:p>
    <w:p w14:paraId="4423770C" w14:textId="1E39E581" w:rsidR="002E101D" w:rsidRPr="00E96A50" w:rsidRDefault="000B71E0" w:rsidP="00E96A50">
      <w:pPr>
        <w:pStyle w:val="Listparagraf"/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scrise:</w:t>
      </w:r>
      <w:r w:rsidR="002E101D"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 materiale tipărite, afișajul, ordine, demersuri, dispoziții, instrucții.</w:t>
      </w:r>
    </w:p>
    <w:p w14:paraId="1F9AEDDD" w14:textId="77777777" w:rsidR="002E101D" w:rsidRDefault="002E101D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D773AF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Comunicarea internă presupune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5A3FD59" w14:textId="76F4AEA2" w:rsidR="002E101D" w:rsidRPr="00E96A50" w:rsidRDefault="002E101D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soluționarea problemelor, coordonarea activităților,</w:t>
      </w:r>
      <w:r w:rsidR="00E96A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>implementarea planurilor de acțiuni;</w:t>
      </w:r>
    </w:p>
    <w:p w14:paraId="4F3AEC70" w14:textId="058DB8CE" w:rsidR="002E101D" w:rsidRPr="00E96A50" w:rsidRDefault="002E101D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dezvoltarea sistemului de control managerial;</w:t>
      </w:r>
    </w:p>
    <w:p w14:paraId="228D6BDE" w14:textId="781F8D03" w:rsidR="002E101D" w:rsidRPr="00E96A50" w:rsidRDefault="002E101D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dezvoltarea sistemului de management al calității;</w:t>
      </w:r>
    </w:p>
    <w:p w14:paraId="266FDBB2" w14:textId="2F2AC6BD" w:rsidR="002E101D" w:rsidRPr="00E96A50" w:rsidRDefault="002E101D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furnizarea de către management ( de sus în jos) a informațiilor necesare angajaților pentru buna desfășurare a activităților;</w:t>
      </w:r>
    </w:p>
    <w:p w14:paraId="2C4C1069" w14:textId="3F81EC88" w:rsidR="0051676A" w:rsidRPr="00E96A50" w:rsidRDefault="002E101D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stabilirea/realizarea acțiunilor cu scopul de a motiva, încuraja și îmbunătăți performanțele peivind controlul managerial</w:t>
      </w:r>
      <w:r w:rsidR="0051676A" w:rsidRPr="00E96A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D1E5053" w14:textId="09347884" w:rsidR="0051676A" w:rsidRPr="00E96A50" w:rsidRDefault="0051676A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susținerea angajaților în vederea îndeplinirii responsabilităților și atingerea obiectivelor privind controlul managerial;</w:t>
      </w:r>
    </w:p>
    <w:p w14:paraId="0EFC8B99" w14:textId="1DBF2DA2" w:rsidR="0051676A" w:rsidRPr="00E96A50" w:rsidRDefault="0051676A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încurajarea feedback-ului în cadrul structurii instanțelor.</w:t>
      </w:r>
    </w:p>
    <w:p w14:paraId="09842169" w14:textId="6325E31F" w:rsidR="0051676A" w:rsidRPr="00E96A50" w:rsidRDefault="003D3BE2" w:rsidP="00E96A50">
      <w:pPr>
        <w:pStyle w:val="Listparagraf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1676A" w:rsidRPr="00E96A50">
        <w:rPr>
          <w:rFonts w:ascii="Times New Roman" w:hAnsi="Times New Roman" w:cs="Times New Roman"/>
          <w:sz w:val="28"/>
          <w:szCs w:val="28"/>
          <w:lang w:val="ro-RO"/>
        </w:rPr>
        <w:t>n situații de urgență, care impun acțiuni imediate, orice angajat are obligația de a comunica pe cale ierarhică aceste situații și de a întreprinde neântârziat măsurile ce seimpun, în limita asigurării siguranței proprii.</w:t>
      </w:r>
    </w:p>
    <w:p w14:paraId="2D026ECB" w14:textId="77777777" w:rsidR="0051676A" w:rsidRDefault="00AC42A1" w:rsidP="005167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VIII</w:t>
      </w:r>
      <w:r w:rsidR="0051676A">
        <w:rPr>
          <w:rFonts w:ascii="Times New Roman" w:hAnsi="Times New Roman" w:cs="Times New Roman"/>
          <w:b/>
          <w:sz w:val="28"/>
          <w:szCs w:val="28"/>
          <w:lang w:val="ro-RO"/>
        </w:rPr>
        <w:t>. Comunicarea externă</w:t>
      </w:r>
    </w:p>
    <w:p w14:paraId="51613DAF" w14:textId="2FF8B7EA" w:rsidR="0051676A" w:rsidRDefault="0051676A" w:rsidP="00E9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676A">
        <w:rPr>
          <w:rFonts w:ascii="Times New Roman" w:hAnsi="Times New Roman" w:cs="Times New Roman"/>
          <w:sz w:val="28"/>
          <w:szCs w:val="28"/>
          <w:lang w:val="ro-RO"/>
        </w:rPr>
        <w:t>Veriga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principală ce asigură legătura instanței cu instituțiile ierarhic superioare</w:t>
      </w:r>
      <w:r w:rsidR="00353639">
        <w:rPr>
          <w:rFonts w:ascii="Times New Roman" w:hAnsi="Times New Roman" w:cs="Times New Roman"/>
          <w:sz w:val="28"/>
          <w:szCs w:val="28"/>
          <w:lang w:val="ro-RO"/>
        </w:rPr>
        <w:t>, justițiabilii, mass-media, organele de drept, organele autorităților publice locale și centrale.</w:t>
      </w:r>
    </w:p>
    <w:p w14:paraId="1A88378C" w14:textId="77777777" w:rsidR="00353639" w:rsidRDefault="00353639" w:rsidP="00E96A50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Componenta  de </w:t>
      </w:r>
      <w:r w:rsidRPr="00D773AF">
        <w:rPr>
          <w:rFonts w:ascii="Times New Roman" w:hAnsi="Times New Roman" w:cs="Times New Roman"/>
          <w:sz w:val="28"/>
          <w:szCs w:val="28"/>
          <w:lang w:val="ro-RO"/>
        </w:rPr>
        <w:t>comunicare externă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include următoarele canale:</w:t>
      </w:r>
    </w:p>
    <w:p w14:paraId="76C7A895" w14:textId="1A85CA41" w:rsidR="00353639" w:rsidRPr="00AB26A1" w:rsidRDefault="00353639" w:rsidP="00E96A50">
      <w:pPr>
        <w:pStyle w:val="Listparagraf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6A1">
        <w:rPr>
          <w:rFonts w:ascii="Times New Roman" w:hAnsi="Times New Roman" w:cs="Times New Roman"/>
          <w:sz w:val="28"/>
          <w:szCs w:val="28"/>
          <w:lang w:val="ro-RO"/>
        </w:rPr>
        <w:t>scrise: materiale promoționale, public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B26A1">
        <w:rPr>
          <w:rFonts w:ascii="Times New Roman" w:hAnsi="Times New Roman" w:cs="Times New Roman"/>
          <w:sz w:val="28"/>
          <w:szCs w:val="28"/>
          <w:lang w:val="ro-RO"/>
        </w:rPr>
        <w:t>ții, rapoarte, procese-verbale, hotărâri, comunicate de presă;</w:t>
      </w:r>
    </w:p>
    <w:p w14:paraId="649B5B35" w14:textId="39B1E0AD" w:rsidR="00353639" w:rsidRPr="00AB26A1" w:rsidRDefault="00353639" w:rsidP="00E96A50">
      <w:pPr>
        <w:pStyle w:val="Listparagraf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6A1">
        <w:rPr>
          <w:rFonts w:ascii="Times New Roman" w:hAnsi="Times New Roman" w:cs="Times New Roman"/>
          <w:sz w:val="28"/>
          <w:szCs w:val="28"/>
          <w:lang w:val="ro-RO"/>
        </w:rPr>
        <w:t>electronice: poșta electroni</w:t>
      </w:r>
      <w:r w:rsidR="00363903" w:rsidRPr="00AB26A1">
        <w:rPr>
          <w:rFonts w:ascii="Times New Roman" w:hAnsi="Times New Roman" w:cs="Times New Roman"/>
          <w:sz w:val="28"/>
          <w:szCs w:val="28"/>
          <w:lang w:val="ro-RO"/>
        </w:rPr>
        <w:t>că oficială a instanței:</w:t>
      </w:r>
      <w:r w:rsidR="00AB26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7" w:history="1">
        <w:r w:rsidR="00363903" w:rsidRPr="00AB26A1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jan@justice.md</w:t>
        </w:r>
      </w:hyperlink>
      <w:r w:rsidR="00363903" w:rsidRPr="00AB26A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hyperlink r:id="rId8" w:history="1">
        <w:r w:rsidR="00AB26A1" w:rsidRPr="00C7711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jbe@justice.md</w:t>
        </w:r>
      </w:hyperlink>
      <w:r w:rsidR="00AB26A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AB26A1">
        <w:rPr>
          <w:rFonts w:ascii="Times New Roman" w:hAnsi="Times New Roman" w:cs="Times New Roman"/>
          <w:sz w:val="28"/>
          <w:szCs w:val="28"/>
          <w:lang w:val="ro-RO"/>
        </w:rPr>
        <w:t xml:space="preserve"> și poșta electronică oficială  a funcționarilor entității</w:t>
      </w:r>
    </w:p>
    <w:p w14:paraId="3706DC7E" w14:textId="61FF30DD" w:rsidR="00353639" w:rsidRPr="00AB26A1" w:rsidRDefault="00353639" w:rsidP="00E96A50">
      <w:pPr>
        <w:pStyle w:val="Listparagraf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6A1">
        <w:rPr>
          <w:rFonts w:ascii="Times New Roman" w:hAnsi="Times New Roman" w:cs="Times New Roman"/>
          <w:sz w:val="28"/>
          <w:szCs w:val="28"/>
          <w:lang w:val="ro-RO"/>
        </w:rPr>
        <w:t>personale: conferințe, întruniri, prezentări, evenimente, discursuri, interviuri, briefinguri</w:t>
      </w:r>
      <w:r w:rsidR="0083520A" w:rsidRPr="00AB26A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D459841" w14:textId="77777777" w:rsidR="00D773AF" w:rsidRDefault="00AC42A1" w:rsidP="00E96A50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 </w:t>
      </w:r>
      <w:r w:rsidR="0083520A" w:rsidRPr="00D773AF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Comunicarea externă</w:t>
      </w:r>
      <w:r w:rsidR="0083520A">
        <w:rPr>
          <w:rFonts w:ascii="Times New Roman" w:hAnsi="Times New Roman" w:cs="Times New Roman"/>
          <w:sz w:val="28"/>
          <w:szCs w:val="28"/>
          <w:lang w:val="ro-RO"/>
        </w:rPr>
        <w:t xml:space="preserve"> presupune:</w:t>
      </w:r>
      <w:r w:rsidR="00B67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1EEBE39" w14:textId="1F11690B" w:rsidR="00D773AF" w:rsidRPr="00E96A50" w:rsidRDefault="0083520A" w:rsidP="00E96A50">
      <w:pPr>
        <w:pStyle w:val="Listparagraf"/>
        <w:numPr>
          <w:ilvl w:val="1"/>
          <w:numId w:val="18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informarea publicului larg despre activitățile, inițiativele și rezultatele instanței</w:t>
      </w:r>
      <w:r w:rsidR="00B673FE"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0F044490" w14:textId="76B585ED" w:rsidR="0001590C" w:rsidRPr="00E96A50" w:rsidRDefault="00B673FE" w:rsidP="00E96A50">
      <w:pPr>
        <w:pStyle w:val="Listparagraf"/>
        <w:numPr>
          <w:ilvl w:val="1"/>
          <w:numId w:val="18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6A50">
        <w:rPr>
          <w:rFonts w:ascii="Times New Roman" w:hAnsi="Times New Roman" w:cs="Times New Roman"/>
          <w:sz w:val="28"/>
          <w:szCs w:val="28"/>
          <w:lang w:val="ro-RO"/>
        </w:rPr>
        <w:t>stabilirea relațiilor de parteneriat și de colaborare cu autoritățile publice, cu diverse instituții de învățământ, instituț</w:t>
      </w:r>
      <w:r w:rsidR="0001590C" w:rsidRPr="00E96A50">
        <w:rPr>
          <w:rFonts w:ascii="Times New Roman" w:hAnsi="Times New Roman" w:cs="Times New Roman"/>
          <w:sz w:val="28"/>
          <w:szCs w:val="28"/>
          <w:lang w:val="ro-RO"/>
        </w:rPr>
        <w:t>ii media,</w:t>
      </w:r>
      <w:r w:rsidRPr="00E96A50">
        <w:rPr>
          <w:rFonts w:ascii="Times New Roman" w:hAnsi="Times New Roman" w:cs="Times New Roman"/>
          <w:sz w:val="28"/>
          <w:szCs w:val="28"/>
          <w:lang w:val="ro-RO"/>
        </w:rPr>
        <w:t xml:space="preserve"> organizaț</w:t>
      </w:r>
      <w:r w:rsidR="0001590C" w:rsidRPr="00E96A50">
        <w:rPr>
          <w:rFonts w:ascii="Times New Roman" w:hAnsi="Times New Roman" w:cs="Times New Roman"/>
          <w:sz w:val="28"/>
          <w:szCs w:val="28"/>
          <w:lang w:val="ro-RO"/>
        </w:rPr>
        <w:t>ii neguvernamentale.</w:t>
      </w:r>
    </w:p>
    <w:p w14:paraId="31C6F01A" w14:textId="77777777" w:rsidR="0001590C" w:rsidRDefault="00B673FE" w:rsidP="00E96A50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>Site-ul poate fi a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>ccesat de orice utilizator web și pune la dispoziția acestuia informaț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>ii despre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 xml:space="preserve"> structura, activitatea instanț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>ei. Utilizato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>ii interni si externi pot prelua,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 xml:space="preserve"> citi sau imprima orice informaț</w:t>
      </w:r>
      <w:r w:rsidR="0001590C">
        <w:rPr>
          <w:rFonts w:ascii="Times New Roman" w:hAnsi="Times New Roman" w:cs="Times New Roman"/>
          <w:sz w:val="28"/>
          <w:szCs w:val="28"/>
          <w:lang w:val="ro-RO"/>
        </w:rPr>
        <w:t xml:space="preserve">ie de pe site-ul  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>www.jan</w:t>
      </w:r>
      <w:r w:rsidR="00A97DF1" w:rsidRPr="00A97DF1">
        <w:rPr>
          <w:rFonts w:ascii="Times New Roman" w:hAnsi="Times New Roman" w:cs="Times New Roman"/>
          <w:sz w:val="28"/>
          <w:szCs w:val="28"/>
          <w:lang w:val="ro-RO"/>
        </w:rPr>
        <w:t>.justice.md, cu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 xml:space="preserve"> r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>spectarea d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>repturilor de autor sau a adnotă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>rilor despre drepturile de proprietate,</w:t>
      </w:r>
      <w:r w:rsidR="009857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>continute in informatiile preluate de pe portal.</w:t>
      </w:r>
    </w:p>
    <w:p w14:paraId="37F5DA3B" w14:textId="77777777" w:rsidR="00A97DF1" w:rsidRDefault="00A97DF1" w:rsidP="00E96A50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Persoanle au fost i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nformate despre drepturile prevă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zule de art. 12-18 ale Legii RM Nr. 133 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din 08.07.2011 ,,Privind protecț</w:t>
      </w:r>
      <w:r>
        <w:rPr>
          <w:rFonts w:ascii="Times New Roman" w:hAnsi="Times New Roman" w:cs="Times New Roman"/>
          <w:sz w:val="28"/>
          <w:szCs w:val="28"/>
          <w:lang w:val="ro-RO"/>
        </w:rPr>
        <w:t>ia datelor cu caracter personal”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lastRenderedPageBreak/>
        <w:t>(dreptul de acces, de intervenție, de opoziție, de a adresa in instanț</w:t>
      </w:r>
      <w:r>
        <w:rPr>
          <w:rFonts w:ascii="Times New Roman" w:hAnsi="Times New Roman" w:cs="Times New Roman"/>
          <w:sz w:val="28"/>
          <w:szCs w:val="28"/>
          <w:lang w:val="ro-RO"/>
        </w:rPr>
        <w:t>a de judecat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ă, in contextul prelucră</w:t>
      </w:r>
      <w:r>
        <w:rPr>
          <w:rFonts w:ascii="Times New Roman" w:hAnsi="Times New Roman" w:cs="Times New Roman"/>
          <w:sz w:val="28"/>
          <w:szCs w:val="28"/>
          <w:lang w:val="ro-RO"/>
        </w:rPr>
        <w:t>rii efectuate asupra d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atelor cu caracter personal ce îi vizează</w:t>
      </w:r>
      <w:r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14:paraId="6DC1D988" w14:textId="77777777" w:rsidR="00A97DF1" w:rsidRPr="00E5475B" w:rsidRDefault="00AC42A1" w:rsidP="00E547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IX. Gestionarea informației</w:t>
      </w:r>
    </w:p>
    <w:p w14:paraId="40C316EA" w14:textId="493A229C" w:rsidR="00A97DF1" w:rsidRDefault="00E5475B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scopul realizării unei comunică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>ri eficiente, vor fi desemnate persoane</w:t>
      </w:r>
      <w:r>
        <w:rPr>
          <w:rFonts w:ascii="Times New Roman" w:hAnsi="Times New Roman" w:cs="Times New Roman"/>
          <w:sz w:val="28"/>
          <w:szCs w:val="28"/>
          <w:lang w:val="ro-RO"/>
        </w:rPr>
        <w:t>le responsabile de a da declarații. În cazul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 xml:space="preserve"> care per</w:t>
      </w:r>
      <w:r>
        <w:rPr>
          <w:rFonts w:ascii="Times New Roman" w:hAnsi="Times New Roman" w:cs="Times New Roman"/>
          <w:sz w:val="28"/>
          <w:szCs w:val="28"/>
          <w:lang w:val="ro-RO"/>
        </w:rPr>
        <w:t>soana a fost sau este implicată într-o activitate desfășurată</w:t>
      </w:r>
      <w:r w:rsidR="00A97DF1">
        <w:rPr>
          <w:rFonts w:ascii="Times New Roman" w:hAnsi="Times New Roman" w:cs="Times New Roman"/>
          <w:sz w:val="28"/>
          <w:szCs w:val="28"/>
          <w:lang w:val="ro-RO"/>
        </w:rPr>
        <w:t xml:space="preserve"> cu suportul 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nstanței, este obligată să menț</w:t>
      </w:r>
      <w:r w:rsidR="00EC2BA8">
        <w:rPr>
          <w:rFonts w:ascii="Times New Roman" w:hAnsi="Times New Roman" w:cs="Times New Roman"/>
          <w:sz w:val="28"/>
          <w:szCs w:val="28"/>
          <w:lang w:val="ro-RO"/>
        </w:rPr>
        <w:t>ioneze despr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e această colaborare î</w:t>
      </w:r>
      <w:r>
        <w:rPr>
          <w:rFonts w:ascii="Times New Roman" w:hAnsi="Times New Roman" w:cs="Times New Roman"/>
          <w:sz w:val="28"/>
          <w:szCs w:val="28"/>
          <w:lang w:val="ro-RO"/>
        </w:rPr>
        <w:t>n informațiile/comunicatele fă</w:t>
      </w:r>
      <w:r w:rsidR="00EC2BA8">
        <w:rPr>
          <w:rFonts w:ascii="Times New Roman" w:hAnsi="Times New Roman" w:cs="Times New Roman"/>
          <w:sz w:val="28"/>
          <w:szCs w:val="28"/>
          <w:lang w:val="ro-RO"/>
        </w:rPr>
        <w:t>cute publice.</w:t>
      </w:r>
    </w:p>
    <w:p w14:paraId="1752E70D" w14:textId="4A352F9D" w:rsidR="00EC2BA8" w:rsidRDefault="00E5475B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Furnizarea informațiilor care lezează</w:t>
      </w:r>
      <w:r w:rsidR="00EC2BA8">
        <w:rPr>
          <w:rFonts w:ascii="Times New Roman" w:hAnsi="Times New Roman" w:cs="Times New Roman"/>
          <w:sz w:val="28"/>
          <w:szCs w:val="28"/>
          <w:lang w:val="ro-RO"/>
        </w:rPr>
        <w:t xml:space="preserve"> drepturile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 xml:space="preserve"> personale este strict interzis</w:t>
      </w:r>
      <w:r>
        <w:rPr>
          <w:rFonts w:ascii="Times New Roman" w:hAnsi="Times New Roman" w:cs="Times New Roman"/>
          <w:sz w:val="28"/>
          <w:szCs w:val="28"/>
          <w:lang w:val="ro-RO"/>
        </w:rPr>
        <w:t>ă. Informaț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iil</w:t>
      </w:r>
      <w:r>
        <w:rPr>
          <w:rFonts w:ascii="Times New Roman" w:hAnsi="Times New Roman" w:cs="Times New Roman"/>
          <w:sz w:val="28"/>
          <w:szCs w:val="28"/>
          <w:lang w:val="ro-RO"/>
        </w:rPr>
        <w:t>e cu caracter personal pot fi făcute numai cu acordul ș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i/sau la cererea persoanei vizate.</w:t>
      </w:r>
    </w:p>
    <w:p w14:paraId="6276A19B" w14:textId="2B8D68F8" w:rsidR="005C0419" w:rsidRDefault="005C0419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Fur</w:t>
      </w:r>
      <w:r w:rsidR="00E5475B">
        <w:rPr>
          <w:rFonts w:ascii="Times New Roman" w:hAnsi="Times New Roman" w:cs="Times New Roman"/>
          <w:sz w:val="28"/>
          <w:szCs w:val="28"/>
          <w:lang w:val="ro-RO"/>
        </w:rPr>
        <w:t>nizarea obligatorie a datelor că</w:t>
      </w:r>
      <w:r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="00E5475B">
        <w:rPr>
          <w:rFonts w:ascii="Times New Roman" w:hAnsi="Times New Roman" w:cs="Times New Roman"/>
          <w:sz w:val="28"/>
          <w:szCs w:val="28"/>
          <w:lang w:val="ro-RO"/>
        </w:rPr>
        <w:t xml:space="preserve"> forurile oficiale este o excepție și se efectuează cu permisiunea preș</w:t>
      </w:r>
      <w:r>
        <w:rPr>
          <w:rFonts w:ascii="Times New Roman" w:hAnsi="Times New Roman" w:cs="Times New Roman"/>
          <w:sz w:val="28"/>
          <w:szCs w:val="28"/>
          <w:lang w:val="ro-RO"/>
        </w:rPr>
        <w:t>edintelui ins</w:t>
      </w:r>
      <w:r w:rsidR="00E5475B">
        <w:rPr>
          <w:rFonts w:ascii="Times New Roman" w:hAnsi="Times New Roman" w:cs="Times New Roman"/>
          <w:sz w:val="28"/>
          <w:szCs w:val="28"/>
          <w:lang w:val="ro-RO"/>
        </w:rPr>
        <w:t>tanței cu respectarea interdicțiilor impuse de legislația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 vigoare.</w:t>
      </w:r>
    </w:p>
    <w:p w14:paraId="7C22A6E0" w14:textId="3504E23B" w:rsidR="005C0419" w:rsidRDefault="00E5475B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Angajaț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ii car</w:t>
      </w:r>
      <w:r>
        <w:rPr>
          <w:rFonts w:ascii="Times New Roman" w:hAnsi="Times New Roman" w:cs="Times New Roman"/>
          <w:sz w:val="28"/>
          <w:szCs w:val="28"/>
          <w:lang w:val="ro-RO"/>
        </w:rPr>
        <w:t>e ajung in posesia unor informații sau documente confidențiale,sunt obligați să asigure confidenț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ialitatea in calitate de posesor,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astfel încă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t sa nu lezeze interesele instit</w:t>
      </w:r>
      <w:r>
        <w:rPr>
          <w:rFonts w:ascii="Times New Roman" w:hAnsi="Times New Roman" w:cs="Times New Roman"/>
          <w:sz w:val="28"/>
          <w:szCs w:val="28"/>
          <w:lang w:val="ro-RO"/>
        </w:rPr>
        <w:t>uț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iei sau ale persoanei vizate.</w:t>
      </w:r>
    </w:p>
    <w:p w14:paraId="5868CAF9" w14:textId="1098AA68" w:rsidR="005C0419" w:rsidRDefault="00E5475B" w:rsidP="00E9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>iile cu caracter public vor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 facute publice pe aviziere și pe pagina web a instanț</w:t>
      </w:r>
      <w:r w:rsidR="005C0419">
        <w:rPr>
          <w:rFonts w:ascii="Times New Roman" w:hAnsi="Times New Roman" w:cs="Times New Roman"/>
          <w:sz w:val="28"/>
          <w:szCs w:val="28"/>
          <w:lang w:val="ro-RO"/>
        </w:rPr>
        <w:t xml:space="preserve">ei, conform 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>prevederilor stabilite.</w:t>
      </w:r>
    </w:p>
    <w:p w14:paraId="473F8601" w14:textId="77777777" w:rsidR="007E7C63" w:rsidRPr="00AC42A1" w:rsidRDefault="00AC42A1" w:rsidP="004D13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42A1">
        <w:rPr>
          <w:rFonts w:ascii="Times New Roman" w:hAnsi="Times New Roman" w:cs="Times New Roman"/>
          <w:b/>
          <w:sz w:val="28"/>
          <w:szCs w:val="28"/>
          <w:lang w:val="ro-RO"/>
        </w:rPr>
        <w:t>X. Dispoziții finale</w:t>
      </w:r>
    </w:p>
    <w:p w14:paraId="6B049C24" w14:textId="77777777" w:rsidR="007E7C63" w:rsidRDefault="004D131B" w:rsidP="000D05C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Functionari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publici si salariaț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 instanței de judecată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 xml:space="preserve"> au obliga</w:t>
      </w:r>
      <w:r>
        <w:rPr>
          <w:rFonts w:ascii="Times New Roman" w:hAnsi="Times New Roman" w:cs="Times New Roman"/>
          <w:sz w:val="28"/>
          <w:szCs w:val="28"/>
          <w:lang w:val="ro-RO"/>
        </w:rPr>
        <w:t>ția de a îndeplini ș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>i alte sar</w:t>
      </w:r>
      <w:r>
        <w:rPr>
          <w:rFonts w:ascii="Times New Roman" w:hAnsi="Times New Roman" w:cs="Times New Roman"/>
          <w:sz w:val="28"/>
          <w:szCs w:val="28"/>
          <w:lang w:val="ro-RO"/>
        </w:rPr>
        <w:t>cini care sunt legate de atribuț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 xml:space="preserve">iile de serviciu  ce le revin potrivit </w:t>
      </w:r>
      <w:r>
        <w:rPr>
          <w:rFonts w:ascii="Times New Roman" w:hAnsi="Times New Roman" w:cs="Times New Roman"/>
          <w:sz w:val="28"/>
          <w:szCs w:val="28"/>
          <w:lang w:val="ro-RO"/>
        </w:rPr>
        <w:t>reglementărilor î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>n vigoare, prezentului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regulament și fișei postului stabilită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 xml:space="preserve"> pentru fiecare salariat.</w:t>
      </w:r>
    </w:p>
    <w:p w14:paraId="2AE711BB" w14:textId="77777777" w:rsidR="007E7C63" w:rsidRDefault="007E7C63" w:rsidP="000D05C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Prezentul regulam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ent se aprobă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</w:t>
      </w:r>
      <w:r w:rsidR="004D131B">
        <w:rPr>
          <w:rFonts w:ascii="Times New Roman" w:hAnsi="Times New Roman" w:cs="Times New Roman"/>
          <w:sz w:val="28"/>
          <w:szCs w:val="28"/>
          <w:lang w:val="ro-RO"/>
        </w:rPr>
        <w:t>n actul administrativ emis de că</w:t>
      </w:r>
      <w:r w:rsidR="00626AAF">
        <w:rPr>
          <w:rFonts w:ascii="Times New Roman" w:hAnsi="Times New Roman" w:cs="Times New Roman"/>
          <w:sz w:val="28"/>
          <w:szCs w:val="28"/>
          <w:lang w:val="ro-RO"/>
        </w:rPr>
        <w:t>tre Preș</w:t>
      </w:r>
      <w:r>
        <w:rPr>
          <w:rFonts w:ascii="Times New Roman" w:hAnsi="Times New Roman" w:cs="Times New Roman"/>
          <w:sz w:val="28"/>
          <w:szCs w:val="28"/>
          <w:lang w:val="ro-RO"/>
        </w:rPr>
        <w:t>edintele judecatoriei.</w:t>
      </w:r>
    </w:p>
    <w:p w14:paraId="7DA00820" w14:textId="77777777" w:rsidR="007E7C63" w:rsidRPr="007E7C63" w:rsidRDefault="004D131B" w:rsidP="000D05C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Prezentul regulament intră in vigoare la data aprobă</w:t>
      </w:r>
      <w:r w:rsidR="007E7C63">
        <w:rPr>
          <w:rFonts w:ascii="Times New Roman" w:hAnsi="Times New Roman" w:cs="Times New Roman"/>
          <w:sz w:val="28"/>
          <w:szCs w:val="28"/>
          <w:lang w:val="ro-RO"/>
        </w:rPr>
        <w:t>rii lui.</w:t>
      </w:r>
    </w:p>
    <w:p w14:paraId="7F64A19E" w14:textId="77777777" w:rsidR="00BF6873" w:rsidRDefault="00BF6873" w:rsidP="000D05C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9E5855" w14:textId="5251A627" w:rsidR="004D131B" w:rsidRPr="004D131B" w:rsidRDefault="00AB26A1" w:rsidP="000D05C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4D131B" w:rsidRPr="004D131B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ED683D">
        <w:rPr>
          <w:rFonts w:ascii="Times New Roman" w:hAnsi="Times New Roman" w:cs="Times New Roman"/>
          <w:b/>
          <w:sz w:val="28"/>
          <w:szCs w:val="28"/>
          <w:lang w:val="ro-RO"/>
        </w:rPr>
        <w:t>ef Serviciu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GSMPJ și RP</w:t>
      </w:r>
      <w:r w:rsidR="004D13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 w:rsidR="002B15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ED68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4D13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4D131B" w:rsidRPr="004D13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Olga DONCIU</w:t>
      </w:r>
    </w:p>
    <w:sectPr w:rsidR="004D131B" w:rsidRPr="004D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671"/>
    <w:multiLevelType w:val="hybridMultilevel"/>
    <w:tmpl w:val="7C3EB48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81DA8"/>
    <w:multiLevelType w:val="hybridMultilevel"/>
    <w:tmpl w:val="D9DA203A"/>
    <w:lvl w:ilvl="0" w:tplc="1C927AA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D601F4"/>
    <w:multiLevelType w:val="hybridMultilevel"/>
    <w:tmpl w:val="55DC6AB4"/>
    <w:lvl w:ilvl="0" w:tplc="439E6216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0F3058AB"/>
    <w:multiLevelType w:val="hybridMultilevel"/>
    <w:tmpl w:val="5106CAE2"/>
    <w:lvl w:ilvl="0" w:tplc="ADDE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2517"/>
    <w:multiLevelType w:val="hybridMultilevel"/>
    <w:tmpl w:val="EA86B474"/>
    <w:lvl w:ilvl="0" w:tplc="69EC2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C642A"/>
    <w:multiLevelType w:val="hybridMultilevel"/>
    <w:tmpl w:val="DD5EFC68"/>
    <w:lvl w:ilvl="0" w:tplc="96585936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6" w15:restartNumberingAfterBreak="0">
    <w:nsid w:val="181B729B"/>
    <w:multiLevelType w:val="hybridMultilevel"/>
    <w:tmpl w:val="0BFE512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7505C5"/>
    <w:multiLevelType w:val="hybridMultilevel"/>
    <w:tmpl w:val="D842DAB0"/>
    <w:lvl w:ilvl="0" w:tplc="D296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1A85"/>
    <w:multiLevelType w:val="hybridMultilevel"/>
    <w:tmpl w:val="41CC9E9E"/>
    <w:lvl w:ilvl="0" w:tplc="49BC4890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927D08"/>
    <w:multiLevelType w:val="hybridMultilevel"/>
    <w:tmpl w:val="AB1CBDC2"/>
    <w:lvl w:ilvl="0" w:tplc="39F603C2">
      <w:start w:val="1"/>
      <w:numFmt w:val="upperRoman"/>
      <w:lvlText w:val="%1."/>
      <w:lvlJc w:val="left"/>
      <w:pPr>
        <w:ind w:left="2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0" w15:restartNumberingAfterBreak="0">
    <w:nsid w:val="2AA712D4"/>
    <w:multiLevelType w:val="hybridMultilevel"/>
    <w:tmpl w:val="8AC2DEA6"/>
    <w:lvl w:ilvl="0" w:tplc="1C927A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6A5E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132"/>
    <w:multiLevelType w:val="hybridMultilevel"/>
    <w:tmpl w:val="8E0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717C6"/>
    <w:multiLevelType w:val="hybridMultilevel"/>
    <w:tmpl w:val="5D2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2498"/>
    <w:multiLevelType w:val="hybridMultilevel"/>
    <w:tmpl w:val="05805118"/>
    <w:lvl w:ilvl="0" w:tplc="AA66A7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663683"/>
    <w:multiLevelType w:val="hybridMultilevel"/>
    <w:tmpl w:val="1C2402BE"/>
    <w:lvl w:ilvl="0" w:tplc="AA66A7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0C2FC3"/>
    <w:multiLevelType w:val="hybridMultilevel"/>
    <w:tmpl w:val="11F65658"/>
    <w:lvl w:ilvl="0" w:tplc="626657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30DCF"/>
    <w:multiLevelType w:val="hybridMultilevel"/>
    <w:tmpl w:val="7B48F2C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43CA4"/>
    <w:multiLevelType w:val="hybridMultilevel"/>
    <w:tmpl w:val="4ED0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903DA"/>
    <w:multiLevelType w:val="hybridMultilevel"/>
    <w:tmpl w:val="353C9D42"/>
    <w:lvl w:ilvl="0" w:tplc="AA66A7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720CBA"/>
    <w:multiLevelType w:val="hybridMultilevel"/>
    <w:tmpl w:val="F56E163C"/>
    <w:lvl w:ilvl="0" w:tplc="AA66A7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E53916"/>
    <w:multiLevelType w:val="hybridMultilevel"/>
    <w:tmpl w:val="D38EA2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7EF"/>
    <w:multiLevelType w:val="hybridMultilevel"/>
    <w:tmpl w:val="19289560"/>
    <w:lvl w:ilvl="0" w:tplc="8C56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A3F31"/>
    <w:multiLevelType w:val="hybridMultilevel"/>
    <w:tmpl w:val="40DA7C20"/>
    <w:lvl w:ilvl="0" w:tplc="AA66A7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584CA5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1453AB"/>
    <w:multiLevelType w:val="hybridMultilevel"/>
    <w:tmpl w:val="BBE26246"/>
    <w:lvl w:ilvl="0" w:tplc="A398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3FA3"/>
    <w:multiLevelType w:val="hybridMultilevel"/>
    <w:tmpl w:val="F4E469EE"/>
    <w:lvl w:ilvl="0" w:tplc="4F46C3FA">
      <w:start w:val="1"/>
      <w:numFmt w:val="upperRoman"/>
      <w:lvlText w:val="%1."/>
      <w:lvlJc w:val="left"/>
      <w:pPr>
        <w:ind w:left="4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5" w15:restartNumberingAfterBreak="0">
    <w:nsid w:val="686F253A"/>
    <w:multiLevelType w:val="hybridMultilevel"/>
    <w:tmpl w:val="B1C688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57403"/>
    <w:multiLevelType w:val="hybridMultilevel"/>
    <w:tmpl w:val="564E4944"/>
    <w:lvl w:ilvl="0" w:tplc="2452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5321"/>
    <w:multiLevelType w:val="hybridMultilevel"/>
    <w:tmpl w:val="2A069CDC"/>
    <w:lvl w:ilvl="0" w:tplc="FFAAE596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761B4A7B"/>
    <w:multiLevelType w:val="hybridMultilevel"/>
    <w:tmpl w:val="6728E1FA"/>
    <w:lvl w:ilvl="0" w:tplc="BDA8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0FA1"/>
    <w:multiLevelType w:val="hybridMultilevel"/>
    <w:tmpl w:val="E1A07884"/>
    <w:lvl w:ilvl="0" w:tplc="AA66A7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0952348">
    <w:abstractNumId w:val="23"/>
  </w:num>
  <w:num w:numId="2" w16cid:durableId="1128275793">
    <w:abstractNumId w:val="11"/>
  </w:num>
  <w:num w:numId="3" w16cid:durableId="2006082872">
    <w:abstractNumId w:val="2"/>
  </w:num>
  <w:num w:numId="4" w16cid:durableId="1908689933">
    <w:abstractNumId w:val="24"/>
  </w:num>
  <w:num w:numId="5" w16cid:durableId="1205869324">
    <w:abstractNumId w:val="5"/>
  </w:num>
  <w:num w:numId="6" w16cid:durableId="1865091092">
    <w:abstractNumId w:val="3"/>
  </w:num>
  <w:num w:numId="7" w16cid:durableId="1182668339">
    <w:abstractNumId w:val="4"/>
  </w:num>
  <w:num w:numId="8" w16cid:durableId="1514489685">
    <w:abstractNumId w:val="7"/>
  </w:num>
  <w:num w:numId="9" w16cid:durableId="1102535110">
    <w:abstractNumId w:val="28"/>
  </w:num>
  <w:num w:numId="10" w16cid:durableId="49617691">
    <w:abstractNumId w:val="16"/>
  </w:num>
  <w:num w:numId="11" w16cid:durableId="1251963945">
    <w:abstractNumId w:val="9"/>
  </w:num>
  <w:num w:numId="12" w16cid:durableId="998189887">
    <w:abstractNumId w:val="27"/>
  </w:num>
  <w:num w:numId="13" w16cid:durableId="678235109">
    <w:abstractNumId w:val="20"/>
  </w:num>
  <w:num w:numId="14" w16cid:durableId="2100248785">
    <w:abstractNumId w:val="25"/>
  </w:num>
  <w:num w:numId="15" w16cid:durableId="462499616">
    <w:abstractNumId w:val="26"/>
  </w:num>
  <w:num w:numId="16" w16cid:durableId="229317820">
    <w:abstractNumId w:val="21"/>
  </w:num>
  <w:num w:numId="17" w16cid:durableId="1259951454">
    <w:abstractNumId w:val="17"/>
  </w:num>
  <w:num w:numId="18" w16cid:durableId="1296525843">
    <w:abstractNumId w:val="10"/>
  </w:num>
  <w:num w:numId="19" w16cid:durableId="1221747262">
    <w:abstractNumId w:val="12"/>
  </w:num>
  <w:num w:numId="20" w16cid:durableId="337390799">
    <w:abstractNumId w:val="15"/>
  </w:num>
  <w:num w:numId="21" w16cid:durableId="447820092">
    <w:abstractNumId w:val="0"/>
  </w:num>
  <w:num w:numId="22" w16cid:durableId="1517622585">
    <w:abstractNumId w:val="29"/>
  </w:num>
  <w:num w:numId="23" w16cid:durableId="823199638">
    <w:abstractNumId w:val="13"/>
  </w:num>
  <w:num w:numId="24" w16cid:durableId="1963876685">
    <w:abstractNumId w:val="22"/>
  </w:num>
  <w:num w:numId="25" w16cid:durableId="1994722092">
    <w:abstractNumId w:val="14"/>
  </w:num>
  <w:num w:numId="26" w16cid:durableId="106237369">
    <w:abstractNumId w:val="18"/>
  </w:num>
  <w:num w:numId="27" w16cid:durableId="1647586118">
    <w:abstractNumId w:val="19"/>
  </w:num>
  <w:num w:numId="28" w16cid:durableId="2125924712">
    <w:abstractNumId w:val="6"/>
  </w:num>
  <w:num w:numId="29" w16cid:durableId="1713378806">
    <w:abstractNumId w:val="8"/>
  </w:num>
  <w:num w:numId="30" w16cid:durableId="164732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28"/>
    <w:rsid w:val="0001590C"/>
    <w:rsid w:val="000B71E0"/>
    <w:rsid w:val="000D05CA"/>
    <w:rsid w:val="00185A7F"/>
    <w:rsid w:val="001C0800"/>
    <w:rsid w:val="0028287C"/>
    <w:rsid w:val="002B15DD"/>
    <w:rsid w:val="002E101D"/>
    <w:rsid w:val="003200C3"/>
    <w:rsid w:val="00353639"/>
    <w:rsid w:val="00363903"/>
    <w:rsid w:val="003D3BE2"/>
    <w:rsid w:val="003D7AEC"/>
    <w:rsid w:val="004D131B"/>
    <w:rsid w:val="0051676A"/>
    <w:rsid w:val="005C0419"/>
    <w:rsid w:val="005F1501"/>
    <w:rsid w:val="00626AAF"/>
    <w:rsid w:val="00661F05"/>
    <w:rsid w:val="0075508D"/>
    <w:rsid w:val="007E7C63"/>
    <w:rsid w:val="0083520A"/>
    <w:rsid w:val="00925BFE"/>
    <w:rsid w:val="00985736"/>
    <w:rsid w:val="00A84EC6"/>
    <w:rsid w:val="00A97DF1"/>
    <w:rsid w:val="00AB26A1"/>
    <w:rsid w:val="00AC42A1"/>
    <w:rsid w:val="00B673FE"/>
    <w:rsid w:val="00BD04A8"/>
    <w:rsid w:val="00BE6AB3"/>
    <w:rsid w:val="00BF6873"/>
    <w:rsid w:val="00C60B92"/>
    <w:rsid w:val="00D31115"/>
    <w:rsid w:val="00D773AF"/>
    <w:rsid w:val="00E157FB"/>
    <w:rsid w:val="00E5475B"/>
    <w:rsid w:val="00E96A50"/>
    <w:rsid w:val="00EC2BA8"/>
    <w:rsid w:val="00ED0263"/>
    <w:rsid w:val="00ED683D"/>
    <w:rsid w:val="00FB0228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C9C7"/>
  <w15:chartTrackingRefBased/>
  <w15:docId w15:val="{0205D01F-9B7F-4B14-84E4-EB6D678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57F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97DF1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626AAF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5A7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AB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@justice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@justic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.justice.md" TargetMode="External"/><Relationship Id="rId5" Type="http://schemas.openxmlformats.org/officeDocument/2006/relationships/hyperlink" Target="http://www.jan.justice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2020-09-02T13:31:00Z</cp:lastPrinted>
  <dcterms:created xsi:type="dcterms:W3CDTF">2020-09-07T10:59:00Z</dcterms:created>
  <dcterms:modified xsi:type="dcterms:W3CDTF">2023-03-28T11:26:00Z</dcterms:modified>
</cp:coreProperties>
</file>